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83" w:rsidRDefault="00067883" w:rsidP="000678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«Разъяснения действующего законодательства в части любительского и спортивного рыболовства»</w:t>
      </w:r>
    </w:p>
    <w:p w:rsid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 xml:space="preserve">Законодательство в сфере рыболовства постоянно совершенствуется. Многих любителей рыбалки интересуют вопросы, связанные с изменениями правил рыболовства Российской Федерации. В настоящее время наиболее актуальный вопрос </w:t>
      </w:r>
      <w:r>
        <w:rPr>
          <w:rFonts w:ascii="Times New Roman" w:hAnsi="Times New Roman"/>
          <w:sz w:val="28"/>
          <w:szCs w:val="28"/>
        </w:rPr>
        <w:t xml:space="preserve">в нашем </w:t>
      </w:r>
      <w:r w:rsidR="004C16AC">
        <w:rPr>
          <w:rFonts w:ascii="Times New Roman" w:hAnsi="Times New Roman"/>
          <w:sz w:val="28"/>
          <w:szCs w:val="28"/>
        </w:rPr>
        <w:t xml:space="preserve">регионе </w:t>
      </w:r>
      <w:r w:rsidRPr="00067883">
        <w:rPr>
          <w:rFonts w:ascii="Times New Roman" w:hAnsi="Times New Roman"/>
          <w:sz w:val="28"/>
          <w:szCs w:val="28"/>
        </w:rPr>
        <w:t>– любительское и спортивное рыболовство. Ответственность за нарушение тех или иных законов, связанных с любительской рыбалкой - также важная тема. Итак, рассмотрим все данные вопросы по порядку.</w:t>
      </w:r>
    </w:p>
    <w:p w:rsidR="00067883" w:rsidRPr="00067883" w:rsidRDefault="00067883" w:rsidP="0006788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 xml:space="preserve">Основной закон, которым регулируются данные вопросы – Федеральный Закон Российской Федерации от 20.12.2004 № 166-ФЗ «О рыболовстве и сохранении водных биологических ресурсов» </w:t>
      </w:r>
      <w:r w:rsidRPr="00067883">
        <w:rPr>
          <w:rFonts w:ascii="Times New Roman" w:hAnsi="Times New Roman"/>
          <w:sz w:val="28"/>
          <w:szCs w:val="28"/>
          <w:lang w:eastAsia="ru-RU"/>
        </w:rPr>
        <w:t xml:space="preserve">(ред. от 01.05.2019) </w:t>
      </w:r>
      <w:r w:rsidRPr="00067883">
        <w:rPr>
          <w:rFonts w:ascii="Times New Roman" w:hAnsi="Times New Roman"/>
          <w:sz w:val="28"/>
          <w:szCs w:val="28"/>
        </w:rPr>
        <w:t xml:space="preserve"> (далее – Закон о рыболовстве).</w:t>
      </w:r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 xml:space="preserve">В этом законе определяются правовые основы добычи водных биоресурсов (рыбы, водные беспозвоночные, водные млекопитающие, водоросли и </w:t>
      </w:r>
      <w:proofErr w:type="spellStart"/>
      <w:proofErr w:type="gramStart"/>
      <w:r w:rsidRPr="00067883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067883">
        <w:rPr>
          <w:rFonts w:ascii="Times New Roman" w:hAnsi="Times New Roman"/>
          <w:sz w:val="28"/>
          <w:szCs w:val="28"/>
        </w:rPr>
        <w:t>). Основным принципом является платность использования водных биоресурсов, согласно которому любое использование водных биоресурсов осуществляется за плату, за исключением случаев, предусмотренных федеральными законами. Устанавливаются ограничения рыболовства: запрет рыболовства в определенных районах промысла и в отношении отдельных видов водных биоресурсов, минимальные вес и размер водных биоресурсов, разрешаемые орудия и способов добычи и др.</w:t>
      </w:r>
    </w:p>
    <w:p w:rsidR="00D9547B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>Закон о рыболовстве определяет виды рыболовства. Граждане и юридические лица могут осуществлять следующие виды рыболовства:</w:t>
      </w:r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>1. промышленное рыболовство;</w:t>
      </w:r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>2. прибрежное рыболовство;</w:t>
      </w:r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>3. Рыболовство в научно-исследовательских и контрольных целях;</w:t>
      </w:r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>4. Рыболовство в учебных и культурно-просветительских целях;</w:t>
      </w:r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 xml:space="preserve">5. Рыболовство в целях </w:t>
      </w:r>
      <w:proofErr w:type="spellStart"/>
      <w:r w:rsidRPr="00067883">
        <w:rPr>
          <w:rFonts w:ascii="Times New Roman" w:hAnsi="Times New Roman"/>
          <w:sz w:val="28"/>
          <w:szCs w:val="28"/>
        </w:rPr>
        <w:t>аквакультуры</w:t>
      </w:r>
      <w:proofErr w:type="spellEnd"/>
      <w:r w:rsidRPr="00067883">
        <w:rPr>
          <w:rFonts w:ascii="Times New Roman" w:hAnsi="Times New Roman"/>
          <w:sz w:val="28"/>
          <w:szCs w:val="28"/>
        </w:rPr>
        <w:t xml:space="preserve"> (рыбоводства);</w:t>
      </w:r>
    </w:p>
    <w:p w:rsidR="00067883" w:rsidRPr="00067883" w:rsidRDefault="00067883" w:rsidP="00067883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067883">
        <w:rPr>
          <w:rFonts w:ascii="Times New Roman" w:hAnsi="Times New Roman"/>
          <w:i/>
          <w:sz w:val="28"/>
          <w:szCs w:val="28"/>
          <w:u w:val="single"/>
        </w:rPr>
        <w:t>6. Любительское и спортивное рыболовство;</w:t>
      </w:r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>7.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Федерации.</w:t>
      </w:r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 xml:space="preserve">Кроме того, Закон о рыболовстве также определяет и </w:t>
      </w:r>
      <w:proofErr w:type="spellStart"/>
      <w:r w:rsidRPr="00067883">
        <w:rPr>
          <w:rFonts w:ascii="Times New Roman" w:hAnsi="Times New Roman"/>
          <w:sz w:val="28"/>
          <w:szCs w:val="28"/>
        </w:rPr>
        <w:t>рыбохозяйственные</w:t>
      </w:r>
      <w:proofErr w:type="spellEnd"/>
      <w:r w:rsidRPr="00067883">
        <w:rPr>
          <w:rFonts w:ascii="Times New Roman" w:hAnsi="Times New Roman"/>
          <w:sz w:val="28"/>
          <w:szCs w:val="28"/>
        </w:rPr>
        <w:t xml:space="preserve"> бассейны: Азово-Черноморский; Байкальский; Волжско-Каспийский; </w:t>
      </w:r>
      <w:proofErr w:type="spellStart"/>
      <w:r w:rsidRPr="00067883">
        <w:rPr>
          <w:rFonts w:ascii="Times New Roman" w:hAnsi="Times New Roman"/>
          <w:sz w:val="28"/>
          <w:szCs w:val="28"/>
        </w:rPr>
        <w:t>Восточно-Сибирский</w:t>
      </w:r>
      <w:proofErr w:type="spellEnd"/>
      <w:r w:rsidRPr="00067883">
        <w:rPr>
          <w:rFonts w:ascii="Times New Roman" w:hAnsi="Times New Roman"/>
          <w:sz w:val="28"/>
          <w:szCs w:val="28"/>
        </w:rPr>
        <w:t>;</w:t>
      </w:r>
      <w:r w:rsidRPr="00067883">
        <w:rPr>
          <w:rFonts w:ascii="Times New Roman" w:hAnsi="Times New Roman"/>
          <w:i/>
          <w:sz w:val="28"/>
          <w:szCs w:val="28"/>
          <w:u w:val="single"/>
        </w:rPr>
        <w:t xml:space="preserve"> Дальневосточный</w:t>
      </w:r>
      <w:r w:rsidRPr="0006788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67883">
        <w:rPr>
          <w:rFonts w:ascii="Times New Roman" w:hAnsi="Times New Roman"/>
          <w:sz w:val="28"/>
          <w:szCs w:val="28"/>
        </w:rPr>
        <w:t>Западно-Сибирский</w:t>
      </w:r>
      <w:proofErr w:type="spellEnd"/>
      <w:r w:rsidRPr="00067883">
        <w:rPr>
          <w:rFonts w:ascii="Times New Roman" w:hAnsi="Times New Roman"/>
          <w:sz w:val="28"/>
          <w:szCs w:val="28"/>
        </w:rPr>
        <w:t>; Западный; Северный.</w:t>
      </w:r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Pr="00067883">
        <w:rPr>
          <w:rFonts w:ascii="Times New Roman" w:hAnsi="Times New Roman"/>
          <w:sz w:val="28"/>
          <w:szCs w:val="28"/>
        </w:rPr>
        <w:t xml:space="preserve">Правилами рыболовства для Дальневосточного </w:t>
      </w:r>
      <w:proofErr w:type="spellStart"/>
      <w:r w:rsidRPr="00067883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Pr="00067883">
        <w:rPr>
          <w:rFonts w:ascii="Times New Roman" w:hAnsi="Times New Roman"/>
          <w:sz w:val="28"/>
          <w:szCs w:val="28"/>
        </w:rPr>
        <w:t xml:space="preserve"> бассейна, утвержденными Приказом Минсельхоза России от 23.05.2019 № 267 (далее – Правила), предусмотрено, что любительское и спортивное рыболовство может осуществляться физическими </w:t>
      </w:r>
      <w:proofErr w:type="gramStart"/>
      <w:r w:rsidRPr="00067883">
        <w:rPr>
          <w:rFonts w:ascii="Times New Roman" w:hAnsi="Times New Roman"/>
          <w:sz w:val="28"/>
          <w:szCs w:val="28"/>
        </w:rPr>
        <w:t>лицами</w:t>
      </w:r>
      <w:proofErr w:type="gramEnd"/>
      <w:r w:rsidRPr="00067883">
        <w:rPr>
          <w:rFonts w:ascii="Times New Roman" w:hAnsi="Times New Roman"/>
          <w:sz w:val="28"/>
          <w:szCs w:val="28"/>
        </w:rPr>
        <w:t xml:space="preserve"> как на специальном рыболовном участке, так и за его пределами. На рыболовном участке вылов может осуществляться </w:t>
      </w:r>
      <w:r w:rsidRPr="00067883">
        <w:rPr>
          <w:rFonts w:ascii="Times New Roman" w:hAnsi="Times New Roman"/>
          <w:sz w:val="28"/>
          <w:szCs w:val="28"/>
        </w:rPr>
        <w:lastRenderedPageBreak/>
        <w:t xml:space="preserve">гражданами с применением сетных орудий лова, а вне данных участков – </w:t>
      </w:r>
      <w:proofErr w:type="spellStart"/>
      <w:r w:rsidRPr="00067883">
        <w:rPr>
          <w:rFonts w:ascii="Times New Roman" w:hAnsi="Times New Roman"/>
          <w:sz w:val="28"/>
          <w:szCs w:val="28"/>
        </w:rPr>
        <w:t>удебными</w:t>
      </w:r>
      <w:proofErr w:type="spellEnd"/>
      <w:r w:rsidRPr="00067883">
        <w:rPr>
          <w:rFonts w:ascii="Times New Roman" w:hAnsi="Times New Roman"/>
          <w:sz w:val="28"/>
          <w:szCs w:val="28"/>
        </w:rPr>
        <w:t xml:space="preserve"> орудиями лова.</w:t>
      </w:r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>В настоящее время на территории Николаевского района любительское и спортивное рыболовство на рыболовном участке не осуществляется, поскольку в июле 2019 года закончился срок действия договора на предоставление рыболовного участка для любительского и спортивного рыболовства.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883">
        <w:rPr>
          <w:rFonts w:ascii="Times New Roman" w:hAnsi="Times New Roman"/>
          <w:sz w:val="28"/>
          <w:szCs w:val="28"/>
        </w:rPr>
        <w:t xml:space="preserve">Дальнейшее заключение договоров </w:t>
      </w:r>
      <w:proofErr w:type="gramStart"/>
      <w:r w:rsidRPr="00067883">
        <w:rPr>
          <w:rFonts w:ascii="Times New Roman" w:hAnsi="Times New Roman"/>
          <w:sz w:val="28"/>
          <w:szCs w:val="28"/>
        </w:rPr>
        <w:t>на новый срок недопустимо в связи с действием по поручению Президента Российской Федерации моратория на проведение</w:t>
      </w:r>
      <w:proofErr w:type="gramEnd"/>
      <w:r w:rsidRPr="00067883">
        <w:rPr>
          <w:rFonts w:ascii="Times New Roman" w:hAnsi="Times New Roman"/>
          <w:sz w:val="28"/>
          <w:szCs w:val="28"/>
        </w:rPr>
        <w:t xml:space="preserve"> конкурсов по предоставлению рыболовных участков до введения в действие Федерального закона от 25.12.2018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883">
        <w:rPr>
          <w:rFonts w:ascii="Times New Roman" w:hAnsi="Times New Roman"/>
          <w:sz w:val="28"/>
          <w:szCs w:val="28"/>
        </w:rPr>
        <w:t>475-ФЗ «О любительском рыболовстве и о внесении изменений в отдельные законодательные акты Российской Федерации» (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67883">
        <w:rPr>
          <w:rFonts w:ascii="Times New Roman" w:hAnsi="Times New Roman"/>
          <w:sz w:val="28"/>
          <w:szCs w:val="28"/>
        </w:rPr>
        <w:t>01.01.2020).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7883">
        <w:rPr>
          <w:rFonts w:ascii="Times New Roman" w:hAnsi="Times New Roman"/>
          <w:sz w:val="28"/>
          <w:szCs w:val="28"/>
        </w:rPr>
        <w:t xml:space="preserve">Законодательной Думой </w:t>
      </w:r>
      <w:r>
        <w:rPr>
          <w:rFonts w:ascii="Times New Roman" w:hAnsi="Times New Roman"/>
          <w:sz w:val="28"/>
          <w:szCs w:val="28"/>
        </w:rPr>
        <w:t>Хабаровского</w:t>
      </w:r>
      <w:r w:rsidRPr="00067883">
        <w:rPr>
          <w:rFonts w:ascii="Times New Roman" w:hAnsi="Times New Roman"/>
          <w:sz w:val="28"/>
          <w:szCs w:val="28"/>
        </w:rPr>
        <w:t xml:space="preserve"> края разработан проект внесения изменений в ст. 65 Закона о рыболовстве в части возможности продления договоров о предоставлении рыболовных участков до конца 2019 года, который направлен в Государственную Думу Федерального Собрания Российской Федерации для рассмотрения.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067883">
        <w:rPr>
          <w:rFonts w:ascii="Times New Roman" w:hAnsi="Times New Roman"/>
          <w:sz w:val="28"/>
          <w:szCs w:val="28"/>
        </w:rPr>
        <w:t xml:space="preserve">Комитетом Государственной Думы Федерального Собрания Российской Федерации по природным ресурсам, собственности и земельным отношениям данные предложения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067883">
        <w:rPr>
          <w:rFonts w:ascii="Times New Roman" w:hAnsi="Times New Roman"/>
          <w:sz w:val="28"/>
          <w:szCs w:val="28"/>
        </w:rPr>
        <w:t>отклонены.</w:t>
      </w:r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 xml:space="preserve">Однако возможен вылов водных биологических ресурсов вне рыбопромысловых участков на следующие орудия добычи (вылова): </w:t>
      </w:r>
      <w:proofErr w:type="spellStart"/>
      <w:r w:rsidRPr="00067883">
        <w:rPr>
          <w:rFonts w:ascii="Times New Roman" w:hAnsi="Times New Roman"/>
          <w:sz w:val="28"/>
          <w:szCs w:val="28"/>
        </w:rPr>
        <w:t>удебными</w:t>
      </w:r>
      <w:proofErr w:type="spellEnd"/>
      <w:r w:rsidRPr="00067883">
        <w:rPr>
          <w:rFonts w:ascii="Times New Roman" w:hAnsi="Times New Roman"/>
          <w:sz w:val="28"/>
          <w:szCs w:val="28"/>
        </w:rPr>
        <w:t xml:space="preserve"> орудиями добычи (вылова) всех видов и наименований, в том числе спиннингом, с общим количеством крючков не более 10 штук на орудиях добычи (вылова) у одного гражданина; </w:t>
      </w:r>
      <w:proofErr w:type="gramStart"/>
      <w:r w:rsidRPr="00067883">
        <w:rPr>
          <w:rFonts w:ascii="Times New Roman" w:hAnsi="Times New Roman"/>
          <w:sz w:val="28"/>
          <w:szCs w:val="28"/>
        </w:rPr>
        <w:t xml:space="preserve">в летний период – блеснами, </w:t>
      </w:r>
      <w:proofErr w:type="spellStart"/>
      <w:r w:rsidRPr="00067883">
        <w:rPr>
          <w:rFonts w:ascii="Times New Roman" w:hAnsi="Times New Roman"/>
          <w:sz w:val="28"/>
          <w:szCs w:val="28"/>
        </w:rPr>
        <w:t>воблерами</w:t>
      </w:r>
      <w:proofErr w:type="spellEnd"/>
      <w:r w:rsidRPr="00067883">
        <w:rPr>
          <w:rFonts w:ascii="Times New Roman" w:hAnsi="Times New Roman"/>
          <w:sz w:val="28"/>
          <w:szCs w:val="28"/>
        </w:rPr>
        <w:t>, другими искусственными приманками, на наживку с одним крючком (одинарным, двойником или тройником), не более 4 блесен на орудиях добычи (вылова) у одного гражданина; зимней блесной (в морских водных объектах) с одним одинарным крючком жесткого крепления, не более 4 блесен на орудиях добычи (вылова) у одного гражданина;</w:t>
      </w:r>
      <w:proofErr w:type="gramEnd"/>
      <w:r w:rsidRPr="00067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7883">
        <w:rPr>
          <w:rFonts w:ascii="Times New Roman" w:hAnsi="Times New Roman"/>
          <w:sz w:val="28"/>
          <w:szCs w:val="28"/>
        </w:rPr>
        <w:t>многокрючковыми</w:t>
      </w:r>
      <w:proofErr w:type="spellEnd"/>
      <w:r w:rsidRPr="00067883">
        <w:rPr>
          <w:rFonts w:ascii="Times New Roman" w:hAnsi="Times New Roman"/>
          <w:sz w:val="28"/>
          <w:szCs w:val="28"/>
        </w:rPr>
        <w:t xml:space="preserve"> снастями с вертикальным расположением крючков (типа «</w:t>
      </w:r>
      <w:proofErr w:type="gramStart"/>
      <w:r w:rsidRPr="00067883">
        <w:rPr>
          <w:rFonts w:ascii="Times New Roman" w:hAnsi="Times New Roman"/>
          <w:sz w:val="28"/>
          <w:szCs w:val="28"/>
        </w:rPr>
        <w:t>самодур</w:t>
      </w:r>
      <w:proofErr w:type="gramEnd"/>
      <w:r w:rsidRPr="00067883">
        <w:rPr>
          <w:rFonts w:ascii="Times New Roman" w:hAnsi="Times New Roman"/>
          <w:sz w:val="28"/>
          <w:szCs w:val="28"/>
        </w:rPr>
        <w:t>») с общим количеством крючков не более 10 штук на орудиях добычи (вылова) у одного гражданина; и другие орудия лова, полный перечень которых указан в пункте 64.1 Правил. Виды же запрещенных к использованию орудий лова перечислены в пункте 62 Правил.</w:t>
      </w:r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67883">
        <w:rPr>
          <w:rFonts w:ascii="Times New Roman" w:hAnsi="Times New Roman"/>
          <w:sz w:val="28"/>
          <w:szCs w:val="28"/>
        </w:rPr>
        <w:t xml:space="preserve">Кроме того, в силу п. 58.2 Правил разрешена добыча горбуши и кеты с использованием </w:t>
      </w:r>
      <w:proofErr w:type="spellStart"/>
      <w:r w:rsidRPr="00067883">
        <w:rPr>
          <w:rFonts w:ascii="Times New Roman" w:hAnsi="Times New Roman"/>
          <w:sz w:val="28"/>
          <w:szCs w:val="28"/>
          <w:u w:val="single"/>
        </w:rPr>
        <w:t>удебных</w:t>
      </w:r>
      <w:proofErr w:type="spellEnd"/>
      <w:r w:rsidRPr="00067883">
        <w:rPr>
          <w:rFonts w:ascii="Times New Roman" w:hAnsi="Times New Roman"/>
          <w:sz w:val="28"/>
          <w:szCs w:val="28"/>
          <w:u w:val="single"/>
        </w:rPr>
        <w:t xml:space="preserve"> орудий</w:t>
      </w:r>
      <w:r w:rsidRPr="00067883">
        <w:rPr>
          <w:rFonts w:ascii="Times New Roman" w:hAnsi="Times New Roman"/>
          <w:sz w:val="28"/>
          <w:szCs w:val="28"/>
        </w:rPr>
        <w:t xml:space="preserve"> добычи (вылова) в период </w:t>
      </w:r>
      <w:r w:rsidRPr="00067883">
        <w:rPr>
          <w:rFonts w:ascii="Times New Roman" w:hAnsi="Times New Roman"/>
          <w:b/>
          <w:sz w:val="28"/>
          <w:szCs w:val="28"/>
        </w:rPr>
        <w:t>с 15 июня по 15 октября</w:t>
      </w:r>
      <w:r w:rsidRPr="00067883">
        <w:rPr>
          <w:rFonts w:ascii="Times New Roman" w:hAnsi="Times New Roman"/>
          <w:sz w:val="28"/>
          <w:szCs w:val="28"/>
        </w:rPr>
        <w:t xml:space="preserve"> </w:t>
      </w:r>
      <w:r w:rsidRPr="00067883">
        <w:rPr>
          <w:rFonts w:ascii="Times New Roman" w:hAnsi="Times New Roman"/>
          <w:b/>
          <w:sz w:val="28"/>
          <w:szCs w:val="28"/>
        </w:rPr>
        <w:t>по средам, пятницам и воскресеньям каждой недели с 7 часов 00 минут до 22 часов 00 минут</w:t>
      </w:r>
      <w:r w:rsidRPr="00067883">
        <w:rPr>
          <w:rFonts w:ascii="Times New Roman" w:hAnsi="Times New Roman"/>
          <w:sz w:val="28"/>
          <w:szCs w:val="28"/>
        </w:rPr>
        <w:t>, но только в отдельных местах реки Амур, указанных в приложении № 10 к Правилам.</w:t>
      </w:r>
      <w:proofErr w:type="gramEnd"/>
      <w:r w:rsidRPr="000678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7883">
        <w:rPr>
          <w:rFonts w:ascii="Times New Roman" w:hAnsi="Times New Roman"/>
          <w:sz w:val="28"/>
          <w:szCs w:val="28"/>
        </w:rPr>
        <w:t>К таким местам относятся для города Николаевска-на-Амуре: акватория реки Амур, прилегающая к а</w:t>
      </w:r>
      <w:r>
        <w:rPr>
          <w:rFonts w:ascii="Times New Roman" w:hAnsi="Times New Roman"/>
          <w:sz w:val="28"/>
          <w:szCs w:val="28"/>
        </w:rPr>
        <w:t>дминистративным границам города</w:t>
      </w:r>
      <w:r w:rsidRPr="00067883">
        <w:rPr>
          <w:rFonts w:ascii="Times New Roman" w:hAnsi="Times New Roman"/>
          <w:sz w:val="28"/>
          <w:szCs w:val="28"/>
        </w:rPr>
        <w:t xml:space="preserve"> Николаевск-на-Амуре  (от левого берега и в глубь реки Амур, до судового хода), а для села </w:t>
      </w:r>
      <w:proofErr w:type="spellStart"/>
      <w:r w:rsidRPr="00067883">
        <w:rPr>
          <w:rFonts w:ascii="Times New Roman" w:hAnsi="Times New Roman"/>
          <w:sz w:val="28"/>
          <w:szCs w:val="28"/>
        </w:rPr>
        <w:t>Иннокентьевка</w:t>
      </w:r>
      <w:proofErr w:type="spellEnd"/>
      <w:r w:rsidRPr="00067883">
        <w:rPr>
          <w:rFonts w:ascii="Times New Roman" w:hAnsi="Times New Roman"/>
          <w:sz w:val="28"/>
          <w:szCs w:val="28"/>
        </w:rPr>
        <w:t xml:space="preserve">: акватория </w:t>
      </w:r>
      <w:r w:rsidRPr="00067883">
        <w:rPr>
          <w:rFonts w:ascii="Times New Roman" w:hAnsi="Times New Roman"/>
          <w:sz w:val="28"/>
          <w:szCs w:val="28"/>
        </w:rPr>
        <w:lastRenderedPageBreak/>
        <w:t xml:space="preserve">реки Амур, прилегающая к административным границам села </w:t>
      </w:r>
      <w:proofErr w:type="spellStart"/>
      <w:r w:rsidRPr="00067883">
        <w:rPr>
          <w:rFonts w:ascii="Times New Roman" w:hAnsi="Times New Roman"/>
          <w:sz w:val="28"/>
          <w:szCs w:val="28"/>
        </w:rPr>
        <w:t>Иннокентьевка</w:t>
      </w:r>
      <w:proofErr w:type="spellEnd"/>
      <w:r w:rsidRPr="00067883">
        <w:rPr>
          <w:rFonts w:ascii="Times New Roman" w:hAnsi="Times New Roman"/>
          <w:sz w:val="28"/>
          <w:szCs w:val="28"/>
        </w:rPr>
        <w:t xml:space="preserve"> (от левого берега и в глубь реки Амур, до судового хода).</w:t>
      </w:r>
      <w:proofErr w:type="gramEnd"/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>Стоит также отметить, что запрещается осуществлять любительское рыболовство всех видов водных биоресурсов во внутренних водных объектах Хабаровского края на пограничных участках реки Амур, расположенных на расстоянии 0,5 км</w:t>
      </w:r>
      <w:proofErr w:type="gramStart"/>
      <w:r w:rsidRPr="00067883">
        <w:rPr>
          <w:rFonts w:ascii="Times New Roman" w:hAnsi="Times New Roman"/>
          <w:sz w:val="28"/>
          <w:szCs w:val="28"/>
        </w:rPr>
        <w:t>.</w:t>
      </w:r>
      <w:proofErr w:type="gramEnd"/>
      <w:r w:rsidRPr="000678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7883">
        <w:rPr>
          <w:rFonts w:ascii="Times New Roman" w:hAnsi="Times New Roman"/>
          <w:sz w:val="28"/>
          <w:szCs w:val="28"/>
        </w:rPr>
        <w:t>о</w:t>
      </w:r>
      <w:proofErr w:type="gramEnd"/>
      <w:r w:rsidRPr="00067883">
        <w:rPr>
          <w:rFonts w:ascii="Times New Roman" w:hAnsi="Times New Roman"/>
          <w:sz w:val="28"/>
          <w:szCs w:val="28"/>
        </w:rPr>
        <w:t>т устьев впадающих в нее притоков, и вглубь реки Амур на всю ширину этих притоков, а также в самих притоках в пределах пограничной зоны.</w:t>
      </w:r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 xml:space="preserve">Более подробно с Правилами рыболовства для Дальневосточного </w:t>
      </w:r>
      <w:proofErr w:type="spellStart"/>
      <w:r w:rsidRPr="00067883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Pr="00067883">
        <w:rPr>
          <w:rFonts w:ascii="Times New Roman" w:hAnsi="Times New Roman"/>
          <w:sz w:val="28"/>
          <w:szCs w:val="28"/>
        </w:rPr>
        <w:t xml:space="preserve"> бассейна, утвержденными Приказом Минсельхоза России от 23.05.2019 № 267, Вы можете ознакомиться в сети «Интернет» на официальных сайтах органов </w:t>
      </w:r>
      <w:proofErr w:type="spellStart"/>
      <w:r w:rsidRPr="00067883">
        <w:rPr>
          <w:rFonts w:ascii="Times New Roman" w:hAnsi="Times New Roman"/>
          <w:sz w:val="28"/>
          <w:szCs w:val="28"/>
        </w:rPr>
        <w:t>Росрыболовства</w:t>
      </w:r>
      <w:proofErr w:type="spellEnd"/>
      <w:r w:rsidRPr="00067883">
        <w:rPr>
          <w:rFonts w:ascii="Times New Roman" w:hAnsi="Times New Roman"/>
          <w:sz w:val="28"/>
          <w:szCs w:val="28"/>
        </w:rPr>
        <w:t xml:space="preserve"> и иных официальных сетевых ресурсах органов исполнительной власти Российской Федерации.</w:t>
      </w:r>
    </w:p>
    <w:p w:rsidR="00067883" w:rsidRP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>За нарушение правил рыболовства предусмотрены различные виды ответственности вплоть до уголовной</w:t>
      </w:r>
      <w:r w:rsidRPr="0006788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Pr="00067883">
        <w:rPr>
          <w:rFonts w:ascii="Times New Roman" w:hAnsi="Times New Roman"/>
          <w:sz w:val="28"/>
          <w:szCs w:val="28"/>
        </w:rPr>
        <w:t>Так, например, частью 2 статьи 8.37 Кодекса Российской Федерации об административных правонарушениях предусмотрена ответственность за нарушение правил, регламентирующих рыболовство, в виде штрафа в размере от 2 до 5 тысяч рублей с возможной конфискацией судна или орудий лова – для граждан, а для юридических лиц – от 100 до 200 тысяч рублей, также с возможной конфискацией имущества.</w:t>
      </w:r>
      <w:proofErr w:type="gramEnd"/>
    </w:p>
    <w:p w:rsidR="00067883" w:rsidRPr="00067883" w:rsidRDefault="00067883" w:rsidP="0006788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067883">
        <w:rPr>
          <w:rFonts w:ascii="Times New Roman" w:hAnsi="Times New Roman"/>
          <w:sz w:val="28"/>
          <w:szCs w:val="28"/>
        </w:rPr>
        <w:t xml:space="preserve">Уголовным же кодексом Российской Федерации предусмотрена ответственность по статье 256 за незаконную добычу (вылов) водных биологических ресурсов, по статье 257 – за нарушение правил охраны водных биологических ресурсов, а по статье 258.1 – за </w:t>
      </w:r>
      <w:r w:rsidRPr="000678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67883">
        <w:rPr>
          <w:rFonts w:ascii="Times New Roman" w:hAnsi="Times New Roman"/>
          <w:bCs/>
          <w:sz w:val="28"/>
          <w:szCs w:val="28"/>
          <w:lang w:eastAsia="ru-RU"/>
        </w:rPr>
        <w:t>незаконные добычу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</w:t>
      </w:r>
      <w:proofErr w:type="gramEnd"/>
      <w:r w:rsidRPr="00067883">
        <w:rPr>
          <w:rFonts w:ascii="Times New Roman" w:hAnsi="Times New Roman"/>
          <w:bCs/>
          <w:sz w:val="28"/>
          <w:szCs w:val="28"/>
          <w:lang w:eastAsia="ru-RU"/>
        </w:rPr>
        <w:t>. Вышеуказанными статьями предусмотрена и различная уголовная ответственность: начиная от денежного штрафа, заканчивая лишением свободы на срок до семи лет.</w:t>
      </w:r>
    </w:p>
    <w:p w:rsidR="00067883" w:rsidRPr="00067883" w:rsidRDefault="00067883" w:rsidP="0006788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7883">
        <w:rPr>
          <w:rFonts w:ascii="Times New Roman" w:hAnsi="Times New Roman"/>
          <w:sz w:val="28"/>
          <w:szCs w:val="28"/>
        </w:rPr>
        <w:t>Соблюдайте правила рыболовства, относитесь бережно к природе, к природным богатствам и сохраните их для себя и своих потомков</w:t>
      </w:r>
      <w:r w:rsidRPr="00067883">
        <w:rPr>
          <w:rFonts w:ascii="Times New Roman" w:hAnsi="Times New Roman"/>
          <w:color w:val="000000"/>
          <w:sz w:val="28"/>
          <w:szCs w:val="28"/>
        </w:rPr>
        <w:t>!</w:t>
      </w:r>
    </w:p>
    <w:p w:rsid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</w:p>
    <w:p w:rsidR="00067883" w:rsidRDefault="00067883" w:rsidP="00067883">
      <w:pPr>
        <w:ind w:firstLine="709"/>
        <w:rPr>
          <w:rFonts w:ascii="Times New Roman" w:hAnsi="Times New Roman"/>
          <w:sz w:val="28"/>
          <w:szCs w:val="28"/>
        </w:rPr>
      </w:pPr>
    </w:p>
    <w:p w:rsidR="00067883" w:rsidRDefault="00067883" w:rsidP="00067883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Старший помощник</w:t>
      </w:r>
    </w:p>
    <w:p w:rsidR="00067883" w:rsidRDefault="00067883" w:rsidP="00067883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Николаевского-на-Амуре межрайонного</w:t>
      </w:r>
    </w:p>
    <w:p w:rsidR="00067883" w:rsidRPr="002B46E7" w:rsidRDefault="00067883" w:rsidP="00067883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природоохранного прокурора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Д.С. Гулевич</w:t>
      </w:r>
    </w:p>
    <w:sectPr w:rsidR="00067883" w:rsidRPr="002B46E7" w:rsidSect="001468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1D" w:rsidRDefault="0093051D" w:rsidP="0014683D">
      <w:r>
        <w:separator/>
      </w:r>
    </w:p>
  </w:endnote>
  <w:endnote w:type="continuationSeparator" w:id="0">
    <w:p w:rsidR="0093051D" w:rsidRDefault="0093051D" w:rsidP="00146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1D" w:rsidRDefault="0093051D" w:rsidP="0014683D">
      <w:r>
        <w:separator/>
      </w:r>
    </w:p>
  </w:footnote>
  <w:footnote w:type="continuationSeparator" w:id="0">
    <w:p w:rsidR="0093051D" w:rsidRDefault="0093051D" w:rsidP="00146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2983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4683D" w:rsidRPr="0014683D" w:rsidRDefault="0014683D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4683D">
          <w:rPr>
            <w:rFonts w:ascii="Times New Roman" w:hAnsi="Times New Roman"/>
            <w:sz w:val="24"/>
            <w:szCs w:val="24"/>
          </w:rPr>
          <w:fldChar w:fldCharType="begin"/>
        </w:r>
        <w:r w:rsidRPr="0014683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4683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46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4683D" w:rsidRDefault="001468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883"/>
    <w:rsid w:val="00067883"/>
    <w:rsid w:val="0014683D"/>
    <w:rsid w:val="004C080D"/>
    <w:rsid w:val="004C16AC"/>
    <w:rsid w:val="0093051D"/>
    <w:rsid w:val="00D20508"/>
    <w:rsid w:val="00D9547B"/>
    <w:rsid w:val="00F2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8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8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68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468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683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8943C-58B1-4527-9A19-D16153E4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Procuror NIK</dc:creator>
  <cp:lastModifiedBy>Procuror NIK</cp:lastModifiedBy>
  <cp:revision>1</cp:revision>
  <dcterms:created xsi:type="dcterms:W3CDTF">2019-08-21T00:42:00Z</dcterms:created>
  <dcterms:modified xsi:type="dcterms:W3CDTF">2019-08-21T01:07:00Z</dcterms:modified>
</cp:coreProperties>
</file>