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6C65CA" w:rsidRDefault="006C65CA" w:rsidP="006C65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65CA">
        <w:rPr>
          <w:rFonts w:ascii="Times New Roman" w:hAnsi="Times New Roman" w:cs="Times New Roman"/>
          <w:sz w:val="26"/>
          <w:szCs w:val="26"/>
        </w:rPr>
        <w:t>09.06.2016</w:t>
      </w:r>
    </w:p>
    <w:p w:rsidR="006C65CA" w:rsidRPr="006C65CA" w:rsidRDefault="006C65CA" w:rsidP="006C65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65CA" w:rsidRPr="006C65CA" w:rsidRDefault="006C65CA" w:rsidP="006C65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6C65CA">
        <w:rPr>
          <w:color w:val="000000"/>
          <w:sz w:val="26"/>
          <w:szCs w:val="26"/>
        </w:rPr>
        <w:t>Указанный Федеральный закон от 01.05.2016 № 125-ФЗ вносит изменения в статью 12 Федерального закона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и принят в связи с вынесением в прошлом году Конституционным Судом Российской Федерации постановления, признающим незаконным отказ в предоставлении ежемесячной денежной компенсации работникам, ставшим инвалидами из-за получения военной травмы</w:t>
      </w:r>
      <w:proofErr w:type="gramEnd"/>
      <w:r w:rsidRPr="006C65CA">
        <w:rPr>
          <w:color w:val="000000"/>
          <w:sz w:val="26"/>
          <w:szCs w:val="26"/>
        </w:rPr>
        <w:t xml:space="preserve">, </w:t>
      </w:r>
      <w:proofErr w:type="gramStart"/>
      <w:r w:rsidRPr="006C65CA">
        <w:rPr>
          <w:color w:val="000000"/>
          <w:sz w:val="26"/>
          <w:szCs w:val="26"/>
        </w:rPr>
        <w:t>которым назначена пенсия за выслугу лет, выплачиваемая с учетом увеличения, предусмотренного пунктом «а» статьи 16 Закона Российской Федерации от 12.02.1993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семей».</w:t>
      </w:r>
      <w:proofErr w:type="gramEnd"/>
    </w:p>
    <w:p w:rsidR="006C65CA" w:rsidRPr="006C65CA" w:rsidRDefault="006C65CA" w:rsidP="006C65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65CA">
        <w:rPr>
          <w:color w:val="000000"/>
          <w:sz w:val="26"/>
          <w:szCs w:val="26"/>
        </w:rPr>
        <w:t>Согласно вступившим в законную силу изменениям размер денежной компенсации устанавливается соразмерно ежемесячному окладу и ежемесячной надбавки к окладу за выслугу лет, с применением соответствующих коэффициентов в зависимости от группы инвалидности. Так, первая группа инвалидности имеет коэффициент 1.0, второй группе присвоен коэффициент 0.5, а третьей – 0,3. При этом</w:t>
      </w:r>
      <w:proofErr w:type="gramStart"/>
      <w:r w:rsidRPr="006C65CA">
        <w:rPr>
          <w:color w:val="000000"/>
          <w:sz w:val="26"/>
          <w:szCs w:val="26"/>
        </w:rPr>
        <w:t>,</w:t>
      </w:r>
      <w:proofErr w:type="gramEnd"/>
      <w:r w:rsidRPr="006C65CA">
        <w:rPr>
          <w:color w:val="000000"/>
          <w:sz w:val="26"/>
          <w:szCs w:val="26"/>
        </w:rPr>
        <w:t xml:space="preserve"> обязательным условием для выплаты ежемесячной денежной компенсации является оформление соответствующей пенсии по инвалидности. Эти изменения призваны установить порядок получения компенсации в зависимости от степени утраты трудоспособности, а не от вида получаемой ими пенсии.</w:t>
      </w:r>
    </w:p>
    <w:p w:rsidR="006C65CA" w:rsidRPr="006C65CA" w:rsidRDefault="006C65CA" w:rsidP="006C65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65CA">
        <w:rPr>
          <w:color w:val="000000"/>
          <w:sz w:val="26"/>
          <w:szCs w:val="26"/>
        </w:rPr>
        <w:t>Помимо изложенного, статьей 2 рассматриваемого Федерального закона установлено условие, при котором ежемесячная компенсация выплачивается гражданину в наибольшем размере, даже если назначается новая денежная компенсация, но она меньше по размеру, чем предыдущая.</w:t>
      </w:r>
    </w:p>
    <w:p w:rsidR="006C65CA" w:rsidRDefault="006C65CA" w:rsidP="006C65CA">
      <w:pPr>
        <w:spacing w:line="240" w:lineRule="auto"/>
        <w:ind w:firstLine="709"/>
      </w:pPr>
    </w:p>
    <w:sectPr w:rsidR="006C65CA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5CA"/>
    <w:rsid w:val="00125E24"/>
    <w:rsid w:val="002F7E4C"/>
    <w:rsid w:val="006C65CA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2017-06-22T06:19:00Z</dcterms:created>
  <dcterms:modified xsi:type="dcterms:W3CDTF">2017-06-22T06:21:00Z</dcterms:modified>
</cp:coreProperties>
</file>